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DF" w:rsidRDefault="009261DF" w:rsidP="00E75373">
      <w:pPr>
        <w:pStyle w:val="Header"/>
        <w:jc w:val="right"/>
      </w:pPr>
      <w:bookmarkStart w:id="0" w:name="_GoBack"/>
      <w:bookmarkEnd w:id="0"/>
    </w:p>
    <w:p w:rsidR="009261DF" w:rsidRPr="00F146D0" w:rsidRDefault="009261DF" w:rsidP="009261DF">
      <w:pPr>
        <w:jc w:val="both"/>
        <w:rPr>
          <w:rFonts w:ascii="Arial" w:hAnsi="Arial" w:cs="Arial"/>
          <w:sz w:val="22"/>
          <w:szCs w:val="22"/>
        </w:rPr>
      </w:pPr>
    </w:p>
    <w:p w:rsidR="009261DF" w:rsidRPr="00F146D0" w:rsidRDefault="009261DF" w:rsidP="009261DF">
      <w:pPr>
        <w:numPr>
          <w:ilvl w:val="0"/>
          <w:numId w:val="34"/>
        </w:numPr>
        <w:tabs>
          <w:tab w:val="clear" w:pos="1443"/>
          <w:tab w:val="num" w:pos="540"/>
        </w:tabs>
        <w:overflowPunct/>
        <w:autoSpaceDE/>
        <w:autoSpaceDN/>
        <w:adjustRightInd/>
        <w:ind w:left="540" w:hanging="360"/>
        <w:jc w:val="both"/>
        <w:textAlignment w:val="auto"/>
        <w:rPr>
          <w:rFonts w:ascii="Arial" w:hAnsi="Arial" w:cs="Arial"/>
          <w:sz w:val="22"/>
          <w:szCs w:val="22"/>
        </w:rPr>
      </w:pPr>
      <w:r w:rsidRPr="00F146D0">
        <w:rPr>
          <w:rFonts w:ascii="Arial" w:hAnsi="Arial" w:cs="Arial"/>
          <w:sz w:val="22"/>
          <w:szCs w:val="22"/>
        </w:rPr>
        <w:t xml:space="preserve">The Chief Executive Officer of the Department of Natural Resources and Water (NRW) has the power to make an annual valuation of a whole local government area (LGA) under section 37 of the </w:t>
      </w:r>
      <w:r w:rsidRPr="00F146D0">
        <w:rPr>
          <w:rFonts w:ascii="Arial" w:hAnsi="Arial" w:cs="Arial"/>
          <w:i/>
          <w:sz w:val="22"/>
          <w:szCs w:val="22"/>
        </w:rPr>
        <w:t>Valuation of Land Act 1944</w:t>
      </w:r>
      <w:r w:rsidRPr="00F146D0">
        <w:rPr>
          <w:rFonts w:ascii="Arial" w:hAnsi="Arial" w:cs="Arial"/>
          <w:sz w:val="22"/>
          <w:szCs w:val="22"/>
        </w:rPr>
        <w:t xml:space="preserve"> (VOLA) after considering a number of criteria.  On 6 October 2008, the Chief Executive Officer approved that 17 local governments would be revalued and issued on 23 February 2009 (valuations are legislatively required to be issued by 31 March).</w:t>
      </w:r>
    </w:p>
    <w:p w:rsidR="009261DF" w:rsidRPr="00F146D0" w:rsidRDefault="009261DF" w:rsidP="009261DF">
      <w:pPr>
        <w:tabs>
          <w:tab w:val="num" w:pos="540"/>
        </w:tabs>
        <w:ind w:left="540" w:hanging="360"/>
        <w:jc w:val="both"/>
        <w:rPr>
          <w:rFonts w:ascii="Arial" w:hAnsi="Arial" w:cs="Arial"/>
          <w:sz w:val="22"/>
          <w:szCs w:val="22"/>
        </w:rPr>
      </w:pPr>
    </w:p>
    <w:p w:rsidR="009261DF" w:rsidRDefault="009261DF" w:rsidP="009261DF">
      <w:pPr>
        <w:numPr>
          <w:ilvl w:val="0"/>
          <w:numId w:val="34"/>
        </w:numPr>
        <w:tabs>
          <w:tab w:val="clear" w:pos="1443"/>
          <w:tab w:val="num" w:pos="540"/>
        </w:tabs>
        <w:overflowPunct/>
        <w:autoSpaceDE/>
        <w:autoSpaceDN/>
        <w:adjustRightInd/>
        <w:ind w:left="540" w:hanging="360"/>
        <w:jc w:val="both"/>
        <w:textAlignment w:val="auto"/>
        <w:rPr>
          <w:rFonts w:ascii="Arial" w:hAnsi="Arial" w:cs="Arial"/>
          <w:sz w:val="22"/>
          <w:szCs w:val="22"/>
        </w:rPr>
      </w:pPr>
      <w:r w:rsidRPr="00F146D0">
        <w:rPr>
          <w:rFonts w:ascii="Arial" w:hAnsi="Arial" w:cs="Arial"/>
          <w:sz w:val="22"/>
          <w:szCs w:val="22"/>
        </w:rPr>
        <w:t xml:space="preserve">The 17 LGAs approved to be revalued were 12 amalgamated local governments and five stand alone LGAs.  </w:t>
      </w:r>
      <w:r>
        <w:rPr>
          <w:rFonts w:ascii="Arial" w:hAnsi="Arial" w:cs="Arial"/>
          <w:sz w:val="22"/>
          <w:szCs w:val="22"/>
        </w:rPr>
        <w:t>The relevant date of the revaluation of t</w:t>
      </w:r>
      <w:r w:rsidRPr="00F146D0">
        <w:rPr>
          <w:rFonts w:ascii="Arial" w:hAnsi="Arial" w:cs="Arial"/>
          <w:sz w:val="22"/>
          <w:szCs w:val="22"/>
        </w:rPr>
        <w:t xml:space="preserve">he 17 LGAs </w:t>
      </w:r>
      <w:r>
        <w:rPr>
          <w:rFonts w:ascii="Arial" w:hAnsi="Arial" w:cs="Arial"/>
          <w:sz w:val="22"/>
          <w:szCs w:val="22"/>
        </w:rPr>
        <w:t xml:space="preserve">was </w:t>
      </w:r>
    </w:p>
    <w:p w:rsidR="009261DF" w:rsidRDefault="009261DF" w:rsidP="009261DF">
      <w:pPr>
        <w:ind w:left="540"/>
        <w:jc w:val="both"/>
        <w:rPr>
          <w:rFonts w:ascii="Arial" w:hAnsi="Arial" w:cs="Arial"/>
          <w:sz w:val="22"/>
          <w:szCs w:val="22"/>
        </w:rPr>
      </w:pPr>
      <w:r w:rsidRPr="00F146D0">
        <w:rPr>
          <w:rFonts w:ascii="Arial" w:hAnsi="Arial" w:cs="Arial"/>
          <w:sz w:val="22"/>
          <w:szCs w:val="22"/>
        </w:rPr>
        <w:t>1 October 2008 to take effect from 30 June 2009 for rating</w:t>
      </w:r>
      <w:r>
        <w:rPr>
          <w:rFonts w:ascii="Arial" w:hAnsi="Arial" w:cs="Arial"/>
          <w:sz w:val="22"/>
          <w:szCs w:val="22"/>
        </w:rPr>
        <w:t xml:space="preserve">, </w:t>
      </w:r>
      <w:r w:rsidRPr="00F146D0">
        <w:rPr>
          <w:rFonts w:ascii="Arial" w:hAnsi="Arial" w:cs="Arial"/>
          <w:sz w:val="22"/>
          <w:szCs w:val="22"/>
        </w:rPr>
        <w:t xml:space="preserve">land tax </w:t>
      </w:r>
      <w:r>
        <w:rPr>
          <w:rFonts w:ascii="Arial" w:hAnsi="Arial" w:cs="Arial"/>
          <w:sz w:val="22"/>
          <w:szCs w:val="22"/>
        </w:rPr>
        <w:t xml:space="preserve">and State land rental </w:t>
      </w:r>
      <w:r w:rsidRPr="00F146D0">
        <w:rPr>
          <w:rFonts w:ascii="Arial" w:hAnsi="Arial" w:cs="Arial"/>
          <w:sz w:val="22"/>
          <w:szCs w:val="22"/>
        </w:rPr>
        <w:t>purposes</w:t>
      </w:r>
      <w:r>
        <w:rPr>
          <w:rFonts w:ascii="Arial" w:hAnsi="Arial" w:cs="Arial"/>
          <w:sz w:val="22"/>
          <w:szCs w:val="22"/>
        </w:rPr>
        <w:t>.</w:t>
      </w:r>
      <w:r w:rsidRPr="00F146D0">
        <w:rPr>
          <w:rFonts w:ascii="Arial" w:hAnsi="Arial" w:cs="Arial"/>
          <w:sz w:val="22"/>
          <w:szCs w:val="22"/>
        </w:rPr>
        <w:t xml:space="preserve"> </w:t>
      </w:r>
      <w:r>
        <w:rPr>
          <w:rFonts w:ascii="Arial" w:hAnsi="Arial" w:cs="Arial"/>
          <w:sz w:val="22"/>
          <w:szCs w:val="22"/>
        </w:rPr>
        <w:t xml:space="preserve"> </w:t>
      </w:r>
    </w:p>
    <w:p w:rsidR="009261DF" w:rsidRDefault="009261DF" w:rsidP="009261DF">
      <w:pPr>
        <w:jc w:val="both"/>
        <w:rPr>
          <w:rFonts w:ascii="Arial" w:hAnsi="Arial" w:cs="Arial"/>
          <w:sz w:val="22"/>
          <w:szCs w:val="22"/>
        </w:rPr>
      </w:pPr>
    </w:p>
    <w:p w:rsidR="009261DF" w:rsidRDefault="009261DF" w:rsidP="009261DF">
      <w:pPr>
        <w:numPr>
          <w:ilvl w:val="0"/>
          <w:numId w:val="34"/>
        </w:numPr>
        <w:tabs>
          <w:tab w:val="clear" w:pos="1443"/>
          <w:tab w:val="num" w:pos="540"/>
        </w:tabs>
        <w:overflowPunct/>
        <w:autoSpaceDE/>
        <w:autoSpaceDN/>
        <w:adjustRightInd/>
        <w:ind w:left="540" w:hanging="360"/>
        <w:jc w:val="both"/>
        <w:textAlignment w:val="auto"/>
        <w:rPr>
          <w:rFonts w:ascii="Arial" w:hAnsi="Arial" w:cs="Arial"/>
          <w:sz w:val="22"/>
          <w:szCs w:val="22"/>
        </w:rPr>
      </w:pPr>
      <w:r>
        <w:rPr>
          <w:rFonts w:ascii="Arial" w:hAnsi="Arial" w:cs="Arial"/>
          <w:sz w:val="22"/>
          <w:szCs w:val="22"/>
        </w:rPr>
        <w:t>Sales evidence generally showed a considerable increase in land values in the 17 local government areas that were to be valued.  Some areas had not been valued for up to four years and sales evidence reflected a more buoyant property market.</w:t>
      </w:r>
    </w:p>
    <w:p w:rsidR="009261DF" w:rsidRPr="00F146D0" w:rsidRDefault="009261DF" w:rsidP="009261DF">
      <w:pPr>
        <w:tabs>
          <w:tab w:val="num" w:pos="540"/>
        </w:tabs>
        <w:ind w:left="540" w:hanging="360"/>
        <w:jc w:val="both"/>
        <w:rPr>
          <w:rFonts w:ascii="Arial" w:hAnsi="Arial" w:cs="Arial"/>
          <w:sz w:val="22"/>
          <w:szCs w:val="22"/>
        </w:rPr>
      </w:pPr>
    </w:p>
    <w:p w:rsidR="009261DF" w:rsidRPr="00F146D0" w:rsidRDefault="009261DF" w:rsidP="009261DF">
      <w:pPr>
        <w:numPr>
          <w:ilvl w:val="0"/>
          <w:numId w:val="34"/>
        </w:numPr>
        <w:tabs>
          <w:tab w:val="clear" w:pos="1443"/>
          <w:tab w:val="num" w:pos="540"/>
        </w:tabs>
        <w:overflowPunct/>
        <w:autoSpaceDE/>
        <w:autoSpaceDN/>
        <w:adjustRightInd/>
        <w:ind w:left="540" w:hanging="360"/>
        <w:jc w:val="both"/>
        <w:textAlignment w:val="auto"/>
        <w:rPr>
          <w:rFonts w:ascii="Arial" w:hAnsi="Arial" w:cs="Arial"/>
          <w:sz w:val="22"/>
          <w:szCs w:val="22"/>
        </w:rPr>
      </w:pPr>
      <w:r w:rsidRPr="00F146D0">
        <w:rPr>
          <w:rFonts w:ascii="Arial" w:hAnsi="Arial" w:cs="Arial"/>
          <w:sz w:val="22"/>
          <w:szCs w:val="22"/>
        </w:rPr>
        <w:t>Given the current hardship for landholders due</w:t>
      </w:r>
      <w:r>
        <w:rPr>
          <w:rFonts w:ascii="Arial" w:hAnsi="Arial" w:cs="Arial"/>
          <w:sz w:val="22"/>
          <w:szCs w:val="22"/>
        </w:rPr>
        <w:t xml:space="preserve"> to the global financial crisis and</w:t>
      </w:r>
      <w:r w:rsidRPr="00F146D0">
        <w:rPr>
          <w:rFonts w:ascii="Arial" w:hAnsi="Arial" w:cs="Arial"/>
          <w:sz w:val="22"/>
          <w:szCs w:val="22"/>
        </w:rPr>
        <w:t xml:space="preserve"> the extreme weather conditions affecting the State (floods in north Queensland and drought) on property owners, </w:t>
      </w:r>
      <w:r>
        <w:rPr>
          <w:rFonts w:ascii="Arial" w:hAnsi="Arial" w:cs="Arial"/>
          <w:sz w:val="22"/>
          <w:szCs w:val="22"/>
        </w:rPr>
        <w:t>any increase</w:t>
      </w:r>
      <w:r w:rsidRPr="00F146D0">
        <w:rPr>
          <w:rFonts w:ascii="Arial" w:hAnsi="Arial" w:cs="Arial"/>
          <w:sz w:val="22"/>
          <w:szCs w:val="22"/>
        </w:rPr>
        <w:t xml:space="preserve"> in valuations and in turn an increase in land tax and possible increases in local government rates, is considered to be onerous at this time.</w:t>
      </w:r>
    </w:p>
    <w:p w:rsidR="009261DF" w:rsidRPr="00CE6FBA" w:rsidRDefault="009261DF" w:rsidP="009261DF">
      <w:pPr>
        <w:numPr>
          <w:ilvl w:val="0"/>
          <w:numId w:val="34"/>
        </w:numPr>
        <w:tabs>
          <w:tab w:val="clear" w:pos="1443"/>
          <w:tab w:val="num" w:pos="540"/>
        </w:tabs>
        <w:overflowPunct/>
        <w:autoSpaceDE/>
        <w:autoSpaceDN/>
        <w:adjustRightInd/>
        <w:spacing w:before="240"/>
        <w:ind w:left="540" w:hanging="360"/>
        <w:jc w:val="both"/>
        <w:textAlignment w:val="auto"/>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that the Chief Executive Officer of the Department of Natural Resources and Water was considering using section 37 (2) of the </w:t>
      </w:r>
      <w:r w:rsidRPr="00AD694B">
        <w:rPr>
          <w:rFonts w:ascii="Arial" w:hAnsi="Arial" w:cs="Arial"/>
          <w:i/>
          <w:sz w:val="22"/>
          <w:szCs w:val="22"/>
        </w:rPr>
        <w:t>Valuation of Land Act 1944</w:t>
      </w:r>
      <w:r>
        <w:rPr>
          <w:rFonts w:ascii="Arial" w:hAnsi="Arial" w:cs="Arial"/>
          <w:sz w:val="22"/>
          <w:szCs w:val="22"/>
        </w:rPr>
        <w:t xml:space="preserve"> to administratively decide not to issue a valuation this year.</w:t>
      </w:r>
    </w:p>
    <w:p w:rsidR="009261DF" w:rsidRPr="00C07656" w:rsidRDefault="009261DF" w:rsidP="009261DF">
      <w:pPr>
        <w:tabs>
          <w:tab w:val="num" w:pos="540"/>
        </w:tabs>
        <w:ind w:left="540" w:hanging="360"/>
        <w:jc w:val="both"/>
        <w:rPr>
          <w:rFonts w:ascii="Arial" w:hAnsi="Arial" w:cs="Arial"/>
          <w:sz w:val="22"/>
          <w:szCs w:val="22"/>
        </w:rPr>
      </w:pPr>
    </w:p>
    <w:p w:rsidR="009261DF" w:rsidRPr="00C07656" w:rsidRDefault="009261DF" w:rsidP="009261DF">
      <w:pPr>
        <w:keepNext/>
        <w:numPr>
          <w:ilvl w:val="0"/>
          <w:numId w:val="34"/>
        </w:numPr>
        <w:tabs>
          <w:tab w:val="clear" w:pos="1443"/>
          <w:tab w:val="num" w:pos="540"/>
        </w:tabs>
        <w:overflowPunct/>
        <w:autoSpaceDE/>
        <w:autoSpaceDN/>
        <w:adjustRightInd/>
        <w:ind w:left="540" w:hanging="360"/>
        <w:jc w:val="both"/>
        <w:textAlignment w:val="auto"/>
        <w:rPr>
          <w:rFonts w:ascii="Arial" w:hAnsi="Arial" w:cs="Arial"/>
          <w:sz w:val="22"/>
          <w:szCs w:val="22"/>
        </w:rPr>
      </w:pPr>
      <w:r w:rsidRPr="00C07656">
        <w:rPr>
          <w:rFonts w:ascii="Arial" w:hAnsi="Arial" w:cs="Arial"/>
          <w:i/>
          <w:sz w:val="22"/>
          <w:szCs w:val="22"/>
          <w:u w:val="single"/>
        </w:rPr>
        <w:t>Attachments for release</w:t>
      </w:r>
    </w:p>
    <w:p w:rsidR="009261DF" w:rsidRPr="00C07656" w:rsidRDefault="009261DF" w:rsidP="009261DF">
      <w:pPr>
        <w:numPr>
          <w:ilvl w:val="0"/>
          <w:numId w:val="17"/>
        </w:numPr>
        <w:tabs>
          <w:tab w:val="num" w:pos="280"/>
        </w:tabs>
        <w:overflowPunct/>
        <w:autoSpaceDE/>
        <w:autoSpaceDN/>
        <w:adjustRightInd/>
        <w:jc w:val="both"/>
        <w:textAlignment w:val="auto"/>
        <w:rPr>
          <w:rFonts w:ascii="Arial" w:hAnsi="Arial" w:cs="Arial"/>
          <w:sz w:val="22"/>
          <w:szCs w:val="22"/>
        </w:rPr>
      </w:pPr>
      <w:r>
        <w:rPr>
          <w:rFonts w:ascii="Arial" w:hAnsi="Arial" w:cs="Arial"/>
          <w:sz w:val="22"/>
          <w:szCs w:val="22"/>
        </w:rPr>
        <w:t>Nil</w:t>
      </w:r>
    </w:p>
    <w:p w:rsidR="009261DF" w:rsidRPr="00C07656" w:rsidRDefault="009261DF" w:rsidP="009261DF">
      <w:pPr>
        <w:rPr>
          <w:rFonts w:ascii="Arial" w:hAnsi="Arial" w:cs="Arial"/>
          <w:sz w:val="22"/>
          <w:szCs w:val="22"/>
        </w:rPr>
      </w:pPr>
    </w:p>
    <w:p w:rsidR="009261DF" w:rsidRPr="0057030E" w:rsidRDefault="009261DF" w:rsidP="00E75373">
      <w:pPr>
        <w:pStyle w:val="Header"/>
        <w:jc w:val="right"/>
      </w:pPr>
    </w:p>
    <w:sectPr w:rsidR="009261DF" w:rsidRPr="0057030E" w:rsidSect="00ED04D9">
      <w:headerReference w:type="default" r:id="rId7"/>
      <w:pgSz w:w="11907" w:h="16840" w:code="9"/>
      <w:pgMar w:top="1383" w:right="981" w:bottom="720" w:left="1038" w:header="1134" w:footer="482"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C4" w:rsidRDefault="003C16C4">
      <w:r>
        <w:separator/>
      </w:r>
    </w:p>
  </w:endnote>
  <w:endnote w:type="continuationSeparator" w:id="0">
    <w:p w:rsidR="003C16C4" w:rsidRDefault="003C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Roman">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C4" w:rsidRDefault="003C16C4">
      <w:r>
        <w:separator/>
      </w:r>
    </w:p>
  </w:footnote>
  <w:footnote w:type="continuationSeparator" w:id="0">
    <w:p w:rsidR="003C16C4" w:rsidRDefault="003C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DF" w:rsidRPr="000400F9" w:rsidRDefault="00F67BFA" w:rsidP="0026436B">
    <w:pPr>
      <w:pStyle w:val="Header"/>
      <w:tabs>
        <w:tab w:val="clear" w:pos="8306"/>
        <w:tab w:val="right" w:pos="8789"/>
      </w:tabs>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0" name="Picture 30"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261DF" w:rsidRPr="000400F9">
      <w:rPr>
        <w:rFonts w:ascii="Arial" w:hAnsi="Arial" w:cs="Arial"/>
        <w:b/>
        <w:sz w:val="22"/>
        <w:szCs w:val="22"/>
        <w:u w:val="single"/>
      </w:rPr>
      <w:t xml:space="preserve">Cabinet – </w:t>
    </w:r>
    <w:r w:rsidR="009261DF">
      <w:rPr>
        <w:rFonts w:ascii="Arial" w:hAnsi="Arial" w:cs="Arial"/>
        <w:b/>
        <w:sz w:val="22"/>
        <w:szCs w:val="22"/>
        <w:u w:val="single"/>
      </w:rPr>
      <w:t>February 2009</w:t>
    </w:r>
  </w:p>
  <w:p w:rsidR="009261DF" w:rsidRDefault="009261DF" w:rsidP="00603948">
    <w:pPr>
      <w:pStyle w:val="Header"/>
      <w:spacing w:before="120"/>
      <w:rPr>
        <w:rFonts w:ascii="Arial" w:hAnsi="Arial" w:cs="Arial"/>
        <w:b/>
        <w:sz w:val="22"/>
        <w:szCs w:val="22"/>
        <w:u w:val="single"/>
      </w:rPr>
    </w:pPr>
    <w:smartTag w:uri="urn:schemas-microsoft-com:office:smarttags" w:element="place">
      <w:smartTag w:uri="urn:schemas-microsoft-com:office:smarttags" w:element="PlaceName">
        <w:r>
          <w:rPr>
            <w:rFonts w:ascii="Arial" w:hAnsi="Arial" w:cs="Arial"/>
            <w:b/>
            <w:sz w:val="22"/>
            <w:szCs w:val="22"/>
            <w:u w:val="single"/>
          </w:rPr>
          <w:t>Annual</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Land</w:t>
        </w:r>
      </w:smartTag>
    </w:smartTag>
    <w:r>
      <w:rPr>
        <w:rFonts w:ascii="Arial" w:hAnsi="Arial" w:cs="Arial"/>
        <w:b/>
        <w:sz w:val="22"/>
        <w:szCs w:val="22"/>
        <w:u w:val="single"/>
      </w:rPr>
      <w:t xml:space="preserve"> Valuations 2009</w:t>
    </w:r>
  </w:p>
  <w:p w:rsidR="009261DF" w:rsidRDefault="009261DF" w:rsidP="00603948">
    <w:pPr>
      <w:pStyle w:val="Header"/>
      <w:spacing w:before="120"/>
      <w:rPr>
        <w:rFonts w:ascii="Arial" w:hAnsi="Arial" w:cs="Arial"/>
        <w:b/>
        <w:sz w:val="22"/>
        <w:szCs w:val="22"/>
        <w:u w:val="single"/>
      </w:rPr>
    </w:pPr>
    <w:r>
      <w:rPr>
        <w:rFonts w:ascii="Arial" w:hAnsi="Arial" w:cs="Arial"/>
        <w:b/>
        <w:sz w:val="22"/>
        <w:szCs w:val="22"/>
        <w:u w:val="single"/>
      </w:rPr>
      <w:t xml:space="preserve">Minister for Natural Resources and Water and Minister Assisting the Premier in </w:t>
    </w:r>
    <w:smartTag w:uri="urn:schemas-microsoft-com:office:smarttags" w:element="place">
      <w:r>
        <w:rPr>
          <w:rFonts w:ascii="Arial" w:hAnsi="Arial" w:cs="Arial"/>
          <w:b/>
          <w:sz w:val="22"/>
          <w:szCs w:val="22"/>
          <w:u w:val="single"/>
        </w:rPr>
        <w:t>North Queensland</w:t>
      </w:r>
    </w:smartTag>
  </w:p>
  <w:p w:rsidR="009261DF" w:rsidRPr="000400F9" w:rsidRDefault="009261DF" w:rsidP="00603948">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2E1590"/>
    <w:lvl w:ilvl="0">
      <w:numFmt w:val="decimal"/>
      <w:lvlText w:val="*"/>
      <w:lvlJc w:val="left"/>
    </w:lvl>
  </w:abstractNum>
  <w:abstractNum w:abstractNumId="1" w15:restartNumberingAfterBreak="0">
    <w:nsid w:val="02E3682A"/>
    <w:multiLevelType w:val="hybridMultilevel"/>
    <w:tmpl w:val="C3841D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EF66BF"/>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15C70"/>
    <w:multiLevelType w:val="hybridMultilevel"/>
    <w:tmpl w:val="C352CC18"/>
    <w:lvl w:ilvl="0" w:tplc="B1CEB3D2">
      <w:start w:val="1"/>
      <w:numFmt w:val="bullet"/>
      <w:lvlText w:val=""/>
      <w:lvlJc w:val="left"/>
      <w:pPr>
        <w:tabs>
          <w:tab w:val="num" w:pos="766"/>
        </w:tabs>
        <w:ind w:left="764" w:hanging="338"/>
      </w:pPr>
      <w:rPr>
        <w:rFonts w:ascii="Symbol" w:hAnsi="Symbol" w:hint="default"/>
        <w:sz w:val="23"/>
        <w:szCs w:val="23"/>
      </w:rPr>
    </w:lvl>
    <w:lvl w:ilvl="1" w:tplc="0C090003" w:tentative="1">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1506"/>
        </w:tabs>
        <w:ind w:left="1506" w:hanging="360"/>
      </w:pPr>
      <w:rPr>
        <w:rFonts w:ascii="Wingdings" w:hAnsi="Wingdings" w:hint="default"/>
      </w:rPr>
    </w:lvl>
    <w:lvl w:ilvl="3" w:tplc="0C090001" w:tentative="1">
      <w:start w:val="1"/>
      <w:numFmt w:val="bullet"/>
      <w:lvlText w:val=""/>
      <w:lvlJc w:val="left"/>
      <w:pPr>
        <w:tabs>
          <w:tab w:val="num" w:pos="2226"/>
        </w:tabs>
        <w:ind w:left="2226" w:hanging="360"/>
      </w:pPr>
      <w:rPr>
        <w:rFonts w:ascii="Symbol" w:hAnsi="Symbol" w:hint="default"/>
      </w:rPr>
    </w:lvl>
    <w:lvl w:ilvl="4" w:tplc="0C090003" w:tentative="1">
      <w:start w:val="1"/>
      <w:numFmt w:val="bullet"/>
      <w:lvlText w:val="o"/>
      <w:lvlJc w:val="left"/>
      <w:pPr>
        <w:tabs>
          <w:tab w:val="num" w:pos="2946"/>
        </w:tabs>
        <w:ind w:left="2946" w:hanging="360"/>
      </w:pPr>
      <w:rPr>
        <w:rFonts w:ascii="Courier New" w:hAnsi="Courier New" w:cs="Courier New" w:hint="default"/>
      </w:rPr>
    </w:lvl>
    <w:lvl w:ilvl="5" w:tplc="0C090005" w:tentative="1">
      <w:start w:val="1"/>
      <w:numFmt w:val="bullet"/>
      <w:lvlText w:val=""/>
      <w:lvlJc w:val="left"/>
      <w:pPr>
        <w:tabs>
          <w:tab w:val="num" w:pos="3666"/>
        </w:tabs>
        <w:ind w:left="3666" w:hanging="360"/>
      </w:pPr>
      <w:rPr>
        <w:rFonts w:ascii="Wingdings" w:hAnsi="Wingdings" w:hint="default"/>
      </w:rPr>
    </w:lvl>
    <w:lvl w:ilvl="6" w:tplc="0C090001" w:tentative="1">
      <w:start w:val="1"/>
      <w:numFmt w:val="bullet"/>
      <w:lvlText w:val=""/>
      <w:lvlJc w:val="left"/>
      <w:pPr>
        <w:tabs>
          <w:tab w:val="num" w:pos="4386"/>
        </w:tabs>
        <w:ind w:left="4386" w:hanging="360"/>
      </w:pPr>
      <w:rPr>
        <w:rFonts w:ascii="Symbol" w:hAnsi="Symbol" w:hint="default"/>
      </w:rPr>
    </w:lvl>
    <w:lvl w:ilvl="7" w:tplc="0C090003" w:tentative="1">
      <w:start w:val="1"/>
      <w:numFmt w:val="bullet"/>
      <w:lvlText w:val="o"/>
      <w:lvlJc w:val="left"/>
      <w:pPr>
        <w:tabs>
          <w:tab w:val="num" w:pos="5106"/>
        </w:tabs>
        <w:ind w:left="5106" w:hanging="360"/>
      </w:pPr>
      <w:rPr>
        <w:rFonts w:ascii="Courier New" w:hAnsi="Courier New" w:cs="Courier New" w:hint="default"/>
      </w:rPr>
    </w:lvl>
    <w:lvl w:ilvl="8" w:tplc="0C090005" w:tentative="1">
      <w:start w:val="1"/>
      <w:numFmt w:val="bullet"/>
      <w:lvlText w:val=""/>
      <w:lvlJc w:val="left"/>
      <w:pPr>
        <w:tabs>
          <w:tab w:val="num" w:pos="5826"/>
        </w:tabs>
        <w:ind w:left="5826" w:hanging="360"/>
      </w:pPr>
      <w:rPr>
        <w:rFonts w:ascii="Wingdings" w:hAnsi="Wingdings" w:hint="default"/>
      </w:rPr>
    </w:lvl>
  </w:abstractNum>
  <w:abstractNum w:abstractNumId="4" w15:restartNumberingAfterBreak="0">
    <w:nsid w:val="130E3EFC"/>
    <w:multiLevelType w:val="hybridMultilevel"/>
    <w:tmpl w:val="3440D7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3318E7"/>
    <w:multiLevelType w:val="hybridMultilevel"/>
    <w:tmpl w:val="F12EF8A8"/>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02C6"/>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402E05"/>
    <w:multiLevelType w:val="hybridMultilevel"/>
    <w:tmpl w:val="46045B4C"/>
    <w:lvl w:ilvl="0" w:tplc="B8D2E56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3737B"/>
    <w:multiLevelType w:val="multilevel"/>
    <w:tmpl w:val="2B20ADDA"/>
    <w:lvl w:ilvl="0">
      <w:start w:val="5"/>
      <w:numFmt w:val="decimal"/>
      <w:lvlText w:val="%1."/>
      <w:lvlJc w:val="left"/>
      <w:pPr>
        <w:tabs>
          <w:tab w:val="num" w:pos="1440"/>
        </w:tabs>
        <w:ind w:left="144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333F89"/>
    <w:multiLevelType w:val="hybridMultilevel"/>
    <w:tmpl w:val="32DED3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A1A63AC"/>
    <w:multiLevelType w:val="hybridMultilevel"/>
    <w:tmpl w:val="095A3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D9039DE"/>
    <w:multiLevelType w:val="multilevel"/>
    <w:tmpl w:val="EF1E088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b w:val="0"/>
        <w:i w:val="0"/>
        <w:sz w:val="24"/>
        <w:szCs w:val="24"/>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6C5653"/>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8D354F"/>
    <w:multiLevelType w:val="hybridMultilevel"/>
    <w:tmpl w:val="A45036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98E4ED2"/>
    <w:multiLevelType w:val="hybridMultilevel"/>
    <w:tmpl w:val="86F6FC1C"/>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08B469C"/>
    <w:multiLevelType w:val="hybridMultilevel"/>
    <w:tmpl w:val="C116DF1C"/>
    <w:lvl w:ilvl="0" w:tplc="04090001">
      <w:start w:val="1"/>
      <w:numFmt w:val="bullet"/>
      <w:lvlText w:val=""/>
      <w:lvlJc w:val="left"/>
      <w:pPr>
        <w:tabs>
          <w:tab w:val="num" w:pos="360"/>
        </w:tabs>
        <w:ind w:left="360" w:hanging="360"/>
      </w:pPr>
      <w:rPr>
        <w:rFonts w:ascii="Symbol" w:hAnsi="Symbol" w:hint="default"/>
      </w:rPr>
    </w:lvl>
    <w:lvl w:ilvl="1" w:tplc="D33AEBA8">
      <w:start w:val="1"/>
      <w:numFmt w:val="decimal"/>
      <w:lvlText w:val="(%2)"/>
      <w:lvlJc w:val="left"/>
      <w:pPr>
        <w:tabs>
          <w:tab w:val="num" w:pos="1440"/>
        </w:tabs>
        <w:ind w:left="1440" w:hanging="360"/>
      </w:pPr>
      <w:rPr>
        <w:rFonts w:ascii="Times New Roman" w:eastAsia="Times New Roman" w:hAnsi="Times New Roman" w:cs="Times New Roman"/>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D215D"/>
    <w:multiLevelType w:val="hybridMultilevel"/>
    <w:tmpl w:val="4DAC15F8"/>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1C5828"/>
    <w:multiLevelType w:val="multilevel"/>
    <w:tmpl w:val="B2D87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790587"/>
    <w:multiLevelType w:val="hybridMultilevel"/>
    <w:tmpl w:val="88F80CA2"/>
    <w:lvl w:ilvl="0" w:tplc="99CA5D8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D7AB7"/>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E47C27"/>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17098A"/>
    <w:multiLevelType w:val="hybridMultilevel"/>
    <w:tmpl w:val="2B666CB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E1CE8"/>
    <w:multiLevelType w:val="hybridMultilevel"/>
    <w:tmpl w:val="46743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69C28FE"/>
    <w:multiLevelType w:val="hybridMultilevel"/>
    <w:tmpl w:val="A61AB3CC"/>
    <w:lvl w:ilvl="0" w:tplc="20944C7E">
      <w:start w:val="1"/>
      <w:numFmt w:val="decimal"/>
      <w:lvlText w:val="%1."/>
      <w:lvlJc w:val="left"/>
      <w:pPr>
        <w:tabs>
          <w:tab w:val="num" w:pos="1443"/>
        </w:tabs>
        <w:ind w:left="144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A936A54"/>
    <w:multiLevelType w:val="multilevel"/>
    <w:tmpl w:val="E3E6B2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9968B1"/>
    <w:multiLevelType w:val="hybridMultilevel"/>
    <w:tmpl w:val="256263EE"/>
    <w:lvl w:ilvl="0" w:tplc="38B87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266CB"/>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1C7B69"/>
    <w:multiLevelType w:val="hybridMultilevel"/>
    <w:tmpl w:val="86F6FC1C"/>
    <w:lvl w:ilvl="0" w:tplc="B8D2E5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7427D55"/>
    <w:multiLevelType w:val="hybridMultilevel"/>
    <w:tmpl w:val="31B2FA30"/>
    <w:lvl w:ilvl="0" w:tplc="B7A0238C">
      <w:start w:val="1"/>
      <w:numFmt w:val="bullet"/>
      <w:lvlText w:val=""/>
      <w:lvlJc w:val="left"/>
      <w:pPr>
        <w:tabs>
          <w:tab w:val="num" w:pos="814"/>
        </w:tabs>
        <w:ind w:left="814" w:hanging="454"/>
      </w:pPr>
      <w:rPr>
        <w:rFonts w:ascii="Symbol" w:hAnsi="Symbol" w:hint="default"/>
        <w:color w:val="auto"/>
        <w:sz w:val="23"/>
      </w:rPr>
    </w:lvl>
    <w:lvl w:ilvl="1" w:tplc="C1DEF60A">
      <w:start w:val="1"/>
      <w:numFmt w:val="decimal"/>
      <w:lvlText w:val="%2."/>
      <w:lvlJc w:val="left"/>
      <w:pPr>
        <w:tabs>
          <w:tab w:val="num" w:pos="1443"/>
        </w:tabs>
        <w:ind w:left="1443" w:hanging="363"/>
      </w:pPr>
      <w:rPr>
        <w:rFonts w:hint="default"/>
        <w:color w:val="auto"/>
        <w:sz w:val="23"/>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DF5A25"/>
    <w:multiLevelType w:val="hybridMultilevel"/>
    <w:tmpl w:val="0E1A76B4"/>
    <w:lvl w:ilvl="0" w:tplc="774C2940">
      <w:start w:val="1"/>
      <w:numFmt w:val="decimal"/>
      <w:lvlText w:val="%1."/>
      <w:lvlJc w:val="left"/>
      <w:pPr>
        <w:tabs>
          <w:tab w:val="num" w:pos="709"/>
        </w:tabs>
        <w:ind w:left="709" w:hanging="709"/>
      </w:pPr>
      <w:rPr>
        <w:rFonts w:hint="default"/>
      </w:rPr>
    </w:lvl>
    <w:lvl w:ilvl="1" w:tplc="BD0ACA6C">
      <w:start w:val="1"/>
      <w:numFmt w:val="lowerLetter"/>
      <w:lvlText w:val="%2)"/>
      <w:lvlJc w:val="left"/>
      <w:pPr>
        <w:tabs>
          <w:tab w:val="num" w:pos="1134"/>
        </w:tabs>
        <w:ind w:left="1134" w:hanging="425"/>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A8C16F2"/>
    <w:multiLevelType w:val="hybridMultilevel"/>
    <w:tmpl w:val="DE46C9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F176F87"/>
    <w:multiLevelType w:val="hybridMultilevel"/>
    <w:tmpl w:val="770A51A8"/>
    <w:lvl w:ilvl="0" w:tplc="73C25B60">
      <w:start w:val="1"/>
      <w:numFmt w:val="decimal"/>
      <w:lvlText w:val="%1."/>
      <w:lvlJc w:val="left"/>
      <w:pPr>
        <w:tabs>
          <w:tab w:val="num" w:pos="720"/>
        </w:tabs>
        <w:ind w:left="720" w:hanging="360"/>
      </w:pPr>
      <w:rPr>
        <w:rFonts w:hint="default"/>
      </w:rPr>
    </w:lvl>
    <w:lvl w:ilvl="1" w:tplc="C1DEF60A">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7"/>
  </w:num>
  <w:num w:numId="6">
    <w:abstractNumId w:val="27"/>
  </w:num>
  <w:num w:numId="7">
    <w:abstractNumId w:val="14"/>
  </w:num>
  <w:num w:numId="8">
    <w:abstractNumId w:val="5"/>
  </w:num>
  <w:num w:numId="9">
    <w:abstractNumId w:val="25"/>
  </w:num>
  <w:num w:numId="10">
    <w:abstractNumId w:val="15"/>
  </w:num>
  <w:num w:numId="11">
    <w:abstractNumId w:val="8"/>
  </w:num>
  <w:num w:numId="12">
    <w:abstractNumId w:val="11"/>
  </w:num>
  <w:num w:numId="13">
    <w:abstractNumId w:val="29"/>
  </w:num>
  <w:num w:numId="14">
    <w:abstractNumId w:val="3"/>
  </w:num>
  <w:num w:numId="15">
    <w:abstractNumId w:val="4"/>
  </w:num>
  <w:num w:numId="16">
    <w:abstractNumId w:val="31"/>
  </w:num>
  <w:num w:numId="17">
    <w:abstractNumId w:val="28"/>
  </w:num>
  <w:num w:numId="18">
    <w:abstractNumId w:val="6"/>
  </w:num>
  <w:num w:numId="19">
    <w:abstractNumId w:val="9"/>
  </w:num>
  <w:num w:numId="20">
    <w:abstractNumId w:val="26"/>
  </w:num>
  <w:num w:numId="21">
    <w:abstractNumId w:val="19"/>
  </w:num>
  <w:num w:numId="22">
    <w:abstractNumId w:val="10"/>
  </w:num>
  <w:num w:numId="23">
    <w:abstractNumId w:val="20"/>
  </w:num>
  <w:num w:numId="24">
    <w:abstractNumId w:val="13"/>
  </w:num>
  <w:num w:numId="25">
    <w:abstractNumId w:val="16"/>
  </w:num>
  <w:num w:numId="26">
    <w:abstractNumId w:val="12"/>
  </w:num>
  <w:num w:numId="27">
    <w:abstractNumId w:val="30"/>
  </w:num>
  <w:num w:numId="28">
    <w:abstractNumId w:val="1"/>
  </w:num>
  <w:num w:numId="29">
    <w:abstractNumId w:val="22"/>
  </w:num>
  <w:num w:numId="30">
    <w:abstractNumId w:val="21"/>
  </w:num>
  <w:num w:numId="31">
    <w:abstractNumId w:val="2"/>
  </w:num>
  <w:num w:numId="32">
    <w:abstractNumId w:val="24"/>
  </w:num>
  <w:num w:numId="33">
    <w:abstractNumId w:val="17"/>
  </w:num>
  <w:num w:numId="34">
    <w:abstractNumId w:val="2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7"/>
    <w:rsid w:val="00000110"/>
    <w:rsid w:val="00003356"/>
    <w:rsid w:val="000058D6"/>
    <w:rsid w:val="000223C0"/>
    <w:rsid w:val="00023018"/>
    <w:rsid w:val="0003115E"/>
    <w:rsid w:val="000334E6"/>
    <w:rsid w:val="00064895"/>
    <w:rsid w:val="000758F3"/>
    <w:rsid w:val="00085455"/>
    <w:rsid w:val="00087B1E"/>
    <w:rsid w:val="0009335C"/>
    <w:rsid w:val="0009394D"/>
    <w:rsid w:val="00096814"/>
    <w:rsid w:val="000A1C76"/>
    <w:rsid w:val="000A3971"/>
    <w:rsid w:val="000B1A75"/>
    <w:rsid w:val="000D02FB"/>
    <w:rsid w:val="000D43D6"/>
    <w:rsid w:val="000F1198"/>
    <w:rsid w:val="001165A7"/>
    <w:rsid w:val="00125E37"/>
    <w:rsid w:val="00161B50"/>
    <w:rsid w:val="00181A2F"/>
    <w:rsid w:val="001A48CC"/>
    <w:rsid w:val="001A54ED"/>
    <w:rsid w:val="001B3FD4"/>
    <w:rsid w:val="001B7389"/>
    <w:rsid w:val="001D6F93"/>
    <w:rsid w:val="001E0CEC"/>
    <w:rsid w:val="002074D5"/>
    <w:rsid w:val="00210331"/>
    <w:rsid w:val="00214DC4"/>
    <w:rsid w:val="00233FB7"/>
    <w:rsid w:val="00234A92"/>
    <w:rsid w:val="00254975"/>
    <w:rsid w:val="0026436B"/>
    <w:rsid w:val="002643CB"/>
    <w:rsid w:val="0026590D"/>
    <w:rsid w:val="00266AE3"/>
    <w:rsid w:val="00270B36"/>
    <w:rsid w:val="002B0AA3"/>
    <w:rsid w:val="002B3070"/>
    <w:rsid w:val="002B6537"/>
    <w:rsid w:val="002B7F4C"/>
    <w:rsid w:val="002E4A6C"/>
    <w:rsid w:val="002E6961"/>
    <w:rsid w:val="0030365E"/>
    <w:rsid w:val="00323F21"/>
    <w:rsid w:val="003244DC"/>
    <w:rsid w:val="00330374"/>
    <w:rsid w:val="00333A20"/>
    <w:rsid w:val="003414E6"/>
    <w:rsid w:val="00352D27"/>
    <w:rsid w:val="0038771E"/>
    <w:rsid w:val="00394BAA"/>
    <w:rsid w:val="00396A6B"/>
    <w:rsid w:val="003A0714"/>
    <w:rsid w:val="003A0F26"/>
    <w:rsid w:val="003A238A"/>
    <w:rsid w:val="003B12F3"/>
    <w:rsid w:val="003B58FA"/>
    <w:rsid w:val="003C018E"/>
    <w:rsid w:val="003C16C4"/>
    <w:rsid w:val="003C6123"/>
    <w:rsid w:val="003D0A1E"/>
    <w:rsid w:val="003D4F27"/>
    <w:rsid w:val="003E124E"/>
    <w:rsid w:val="00424174"/>
    <w:rsid w:val="00434045"/>
    <w:rsid w:val="00434841"/>
    <w:rsid w:val="00452D37"/>
    <w:rsid w:val="004546B8"/>
    <w:rsid w:val="0045688D"/>
    <w:rsid w:val="00467B17"/>
    <w:rsid w:val="00475144"/>
    <w:rsid w:val="0047592E"/>
    <w:rsid w:val="0049327E"/>
    <w:rsid w:val="00493F0E"/>
    <w:rsid w:val="004B3235"/>
    <w:rsid w:val="004C7B1F"/>
    <w:rsid w:val="004D203C"/>
    <w:rsid w:val="004D3BE1"/>
    <w:rsid w:val="004D4B1D"/>
    <w:rsid w:val="004E672A"/>
    <w:rsid w:val="004F3D1D"/>
    <w:rsid w:val="00503959"/>
    <w:rsid w:val="005062BE"/>
    <w:rsid w:val="005139C6"/>
    <w:rsid w:val="00514C95"/>
    <w:rsid w:val="005157B1"/>
    <w:rsid w:val="005160DD"/>
    <w:rsid w:val="005175A3"/>
    <w:rsid w:val="00542D3A"/>
    <w:rsid w:val="005608FC"/>
    <w:rsid w:val="0056420B"/>
    <w:rsid w:val="0057030E"/>
    <w:rsid w:val="00575576"/>
    <w:rsid w:val="00592646"/>
    <w:rsid w:val="005A151A"/>
    <w:rsid w:val="005B23C9"/>
    <w:rsid w:val="005B5435"/>
    <w:rsid w:val="005F1CAA"/>
    <w:rsid w:val="00603948"/>
    <w:rsid w:val="00603C59"/>
    <w:rsid w:val="00614E43"/>
    <w:rsid w:val="00615ED8"/>
    <w:rsid w:val="00621A77"/>
    <w:rsid w:val="0063155C"/>
    <w:rsid w:val="00656964"/>
    <w:rsid w:val="006749A6"/>
    <w:rsid w:val="006A223F"/>
    <w:rsid w:val="006A2D21"/>
    <w:rsid w:val="006A3165"/>
    <w:rsid w:val="006B3D03"/>
    <w:rsid w:val="006B4171"/>
    <w:rsid w:val="006C2E1F"/>
    <w:rsid w:val="006C3AD1"/>
    <w:rsid w:val="006E5D2F"/>
    <w:rsid w:val="006F3F37"/>
    <w:rsid w:val="00703E07"/>
    <w:rsid w:val="00727624"/>
    <w:rsid w:val="0073717C"/>
    <w:rsid w:val="007576AB"/>
    <w:rsid w:val="0076227B"/>
    <w:rsid w:val="00766D41"/>
    <w:rsid w:val="007701F8"/>
    <w:rsid w:val="007707C1"/>
    <w:rsid w:val="00777FED"/>
    <w:rsid w:val="007958E1"/>
    <w:rsid w:val="0079595F"/>
    <w:rsid w:val="007C14B0"/>
    <w:rsid w:val="007C1526"/>
    <w:rsid w:val="007D6D8B"/>
    <w:rsid w:val="007E6210"/>
    <w:rsid w:val="007F23F4"/>
    <w:rsid w:val="00800EC0"/>
    <w:rsid w:val="00806D5F"/>
    <w:rsid w:val="0083430E"/>
    <w:rsid w:val="00843F94"/>
    <w:rsid w:val="00870EE6"/>
    <w:rsid w:val="0088265C"/>
    <w:rsid w:val="00886B79"/>
    <w:rsid w:val="00886BD6"/>
    <w:rsid w:val="008968FC"/>
    <w:rsid w:val="008A1F23"/>
    <w:rsid w:val="008D0B15"/>
    <w:rsid w:val="0091036E"/>
    <w:rsid w:val="00913542"/>
    <w:rsid w:val="00922A48"/>
    <w:rsid w:val="00924BA4"/>
    <w:rsid w:val="009261DF"/>
    <w:rsid w:val="00933A2B"/>
    <w:rsid w:val="009719F4"/>
    <w:rsid w:val="0097614F"/>
    <w:rsid w:val="009A56B9"/>
    <w:rsid w:val="009D66DF"/>
    <w:rsid w:val="009E6ADD"/>
    <w:rsid w:val="00A17648"/>
    <w:rsid w:val="00A22065"/>
    <w:rsid w:val="00A2791C"/>
    <w:rsid w:val="00A33FFE"/>
    <w:rsid w:val="00A47587"/>
    <w:rsid w:val="00A51C1A"/>
    <w:rsid w:val="00A56C5F"/>
    <w:rsid w:val="00A841E2"/>
    <w:rsid w:val="00A93F1D"/>
    <w:rsid w:val="00A969AA"/>
    <w:rsid w:val="00AB25D4"/>
    <w:rsid w:val="00AC3153"/>
    <w:rsid w:val="00AC58C9"/>
    <w:rsid w:val="00AE3A8D"/>
    <w:rsid w:val="00AE6E12"/>
    <w:rsid w:val="00AF3A16"/>
    <w:rsid w:val="00AF4563"/>
    <w:rsid w:val="00B01BA2"/>
    <w:rsid w:val="00B0573D"/>
    <w:rsid w:val="00B07318"/>
    <w:rsid w:val="00B07568"/>
    <w:rsid w:val="00B07DF2"/>
    <w:rsid w:val="00B13559"/>
    <w:rsid w:val="00B137BA"/>
    <w:rsid w:val="00B17E8B"/>
    <w:rsid w:val="00B36768"/>
    <w:rsid w:val="00B458E0"/>
    <w:rsid w:val="00B60189"/>
    <w:rsid w:val="00B72066"/>
    <w:rsid w:val="00B76834"/>
    <w:rsid w:val="00B77827"/>
    <w:rsid w:val="00B87375"/>
    <w:rsid w:val="00B9020F"/>
    <w:rsid w:val="00B9253E"/>
    <w:rsid w:val="00B95A5F"/>
    <w:rsid w:val="00BA0E8A"/>
    <w:rsid w:val="00BC1EC3"/>
    <w:rsid w:val="00C02B3F"/>
    <w:rsid w:val="00C0323B"/>
    <w:rsid w:val="00C0563F"/>
    <w:rsid w:val="00C07F7C"/>
    <w:rsid w:val="00C16A04"/>
    <w:rsid w:val="00C55128"/>
    <w:rsid w:val="00C5757E"/>
    <w:rsid w:val="00C6048E"/>
    <w:rsid w:val="00C64CF9"/>
    <w:rsid w:val="00C712DA"/>
    <w:rsid w:val="00C72ABE"/>
    <w:rsid w:val="00C72AF1"/>
    <w:rsid w:val="00C76C3F"/>
    <w:rsid w:val="00C950FE"/>
    <w:rsid w:val="00CB0E91"/>
    <w:rsid w:val="00CB68A7"/>
    <w:rsid w:val="00CD201A"/>
    <w:rsid w:val="00CD271E"/>
    <w:rsid w:val="00CE2752"/>
    <w:rsid w:val="00CE5B8E"/>
    <w:rsid w:val="00CF2B69"/>
    <w:rsid w:val="00D01C3A"/>
    <w:rsid w:val="00D02835"/>
    <w:rsid w:val="00D04933"/>
    <w:rsid w:val="00D07073"/>
    <w:rsid w:val="00D07883"/>
    <w:rsid w:val="00D30CFB"/>
    <w:rsid w:val="00D31D41"/>
    <w:rsid w:val="00D348C3"/>
    <w:rsid w:val="00D40628"/>
    <w:rsid w:val="00D473E8"/>
    <w:rsid w:val="00D556DC"/>
    <w:rsid w:val="00D747A3"/>
    <w:rsid w:val="00D87313"/>
    <w:rsid w:val="00D92772"/>
    <w:rsid w:val="00D974E3"/>
    <w:rsid w:val="00DD0157"/>
    <w:rsid w:val="00DD67BA"/>
    <w:rsid w:val="00DE150B"/>
    <w:rsid w:val="00DE4527"/>
    <w:rsid w:val="00DE4B45"/>
    <w:rsid w:val="00DF24CD"/>
    <w:rsid w:val="00DF62CD"/>
    <w:rsid w:val="00DF7783"/>
    <w:rsid w:val="00E01D83"/>
    <w:rsid w:val="00E15E7E"/>
    <w:rsid w:val="00E233F3"/>
    <w:rsid w:val="00E236FC"/>
    <w:rsid w:val="00E238E9"/>
    <w:rsid w:val="00E27A3F"/>
    <w:rsid w:val="00E27B17"/>
    <w:rsid w:val="00E424ED"/>
    <w:rsid w:val="00E55492"/>
    <w:rsid w:val="00E5556D"/>
    <w:rsid w:val="00E5636B"/>
    <w:rsid w:val="00E75373"/>
    <w:rsid w:val="00E92152"/>
    <w:rsid w:val="00E97A40"/>
    <w:rsid w:val="00EA3AEF"/>
    <w:rsid w:val="00EA71A0"/>
    <w:rsid w:val="00EB4773"/>
    <w:rsid w:val="00EB7526"/>
    <w:rsid w:val="00EC1F47"/>
    <w:rsid w:val="00ED04D9"/>
    <w:rsid w:val="00ED5F78"/>
    <w:rsid w:val="00EF6C2F"/>
    <w:rsid w:val="00F32393"/>
    <w:rsid w:val="00F40348"/>
    <w:rsid w:val="00F543DB"/>
    <w:rsid w:val="00F54A5E"/>
    <w:rsid w:val="00F61260"/>
    <w:rsid w:val="00F67BFA"/>
    <w:rsid w:val="00F816DF"/>
    <w:rsid w:val="00F92F13"/>
    <w:rsid w:val="00F979F3"/>
    <w:rsid w:val="00FA20E0"/>
    <w:rsid w:val="00FA31D9"/>
    <w:rsid w:val="00FA3E72"/>
    <w:rsid w:val="00FB2EFB"/>
    <w:rsid w:val="00FC587E"/>
    <w:rsid w:val="00FD0887"/>
    <w:rsid w:val="00FD4D53"/>
    <w:rsid w:val="00FE47DA"/>
    <w:rsid w:val="00FF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regrouptable v:ext="edit">
        <o:entry new="1"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vanish/>
    </w:rPr>
  </w:style>
  <w:style w:type="paragraph" w:styleId="Heading4">
    <w:name w:val="heading 4"/>
    <w:basedOn w:val="Normal"/>
    <w:next w:val="Normal"/>
    <w:qFormat/>
    <w:pPr>
      <w:keepNext/>
      <w:widowControl w:val="0"/>
      <w:jc w:val="both"/>
      <w:outlineLvl w:val="3"/>
    </w:pPr>
    <w:rPr>
      <w:i/>
      <w:vanish/>
    </w:rPr>
  </w:style>
  <w:style w:type="paragraph" w:styleId="Heading5">
    <w:name w:val="heading 5"/>
    <w:basedOn w:val="Normal"/>
    <w:next w:val="Normal"/>
    <w:qFormat/>
    <w:pPr>
      <w:keepNext/>
      <w:shd w:val="clear" w:color="auto" w:fill="FFFFFF"/>
      <w:outlineLvl w:val="4"/>
    </w:pPr>
    <w:rPr>
      <w:vanish/>
      <w:color w:val="C0C0C0"/>
      <w:sz w:val="28"/>
    </w:rPr>
  </w:style>
  <w:style w:type="paragraph" w:styleId="Heading6">
    <w:name w:val="heading 6"/>
    <w:basedOn w:val="Normal"/>
    <w:next w:val="Normal"/>
    <w:qFormat/>
    <w:pPr>
      <w:keepNext/>
      <w:ind w:left="1418" w:right="1701" w:hanging="1418"/>
      <w:outlineLvl w:val="5"/>
    </w:pPr>
    <w:rPr>
      <w:b/>
      <w:color w:val="0000FF"/>
    </w:rPr>
  </w:style>
  <w:style w:type="paragraph" w:styleId="Heading7">
    <w:name w:val="heading 7"/>
    <w:basedOn w:val="Normal"/>
    <w:next w:val="Normal"/>
    <w:qFormat/>
    <w:pPr>
      <w:keepNext/>
      <w:ind w:left="1418" w:hanging="1418"/>
      <w:outlineLvl w:val="6"/>
    </w:pPr>
    <w:rPr>
      <w:b/>
    </w:rPr>
  </w:style>
  <w:style w:type="paragraph" w:styleId="Heading8">
    <w:name w:val="heading 8"/>
    <w:basedOn w:val="Normal"/>
    <w:next w:val="Normal"/>
    <w:qFormat/>
    <w:pPr>
      <w:keepNext/>
      <w:ind w:left="1418" w:right="4677" w:hanging="141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vanish/>
      <w:sz w:val="40"/>
    </w:rPr>
  </w:style>
  <w:style w:type="paragraph" w:styleId="BodyText">
    <w:name w:val="Body Text"/>
    <w:basedOn w:val="Normal"/>
    <w:rPr>
      <w:rFonts w:ascii="MetaBold-Roman" w:hAnsi="MetaBold-Roman"/>
      <w:sz w:val="20"/>
      <w:lang w:val="en-US"/>
    </w:rPr>
  </w:style>
  <w:style w:type="character" w:styleId="PageNumber">
    <w:name w:val="page number"/>
    <w:basedOn w:val="DefaultParagraphFont"/>
  </w:style>
  <w:style w:type="paragraph" w:styleId="BodyText3">
    <w:name w:val="Body Text 3"/>
    <w:basedOn w:val="Normal"/>
    <w:rPr>
      <w:rFonts w:ascii="Impact" w:hAnsi="Impact"/>
      <w:b/>
      <w:vanish/>
      <w:color w:val="C0C0C0"/>
      <w:sz w:val="72"/>
    </w:rPr>
  </w:style>
  <w:style w:type="paragraph" w:styleId="BlockText">
    <w:name w:val="Block Text"/>
    <w:basedOn w:val="Normal"/>
    <w:pPr>
      <w:ind w:left="1418" w:right="4677" w:hanging="1418"/>
    </w:pPr>
    <w:rPr>
      <w:b/>
    </w:rPr>
  </w:style>
  <w:style w:type="paragraph" w:styleId="NormalWeb">
    <w:name w:val="Normal (Web)"/>
    <w:basedOn w:val="Normal"/>
    <w:pPr>
      <w:spacing w:before="100" w:after="100"/>
    </w:pPr>
    <w:rPr>
      <w:rFonts w:ascii="Arial Unicode MS" w:eastAsia="Arial Unicode MS"/>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table" w:styleId="TableGrid">
    <w:name w:val="Table Grid"/>
    <w:basedOn w:val="TableNormal"/>
    <w:rsid w:val="00D3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0EE6"/>
    <w:rPr>
      <w:color w:val="0000FF"/>
      <w:u w:val="single"/>
    </w:rPr>
  </w:style>
  <w:style w:type="paragraph" w:styleId="CommentSubject">
    <w:name w:val="annotation subject"/>
    <w:basedOn w:val="CommentText"/>
    <w:next w:val="CommentText"/>
    <w:semiHidden/>
    <w:rsid w:val="00C5757E"/>
    <w:rPr>
      <w:b/>
      <w:bCs/>
    </w:rPr>
  </w:style>
  <w:style w:type="paragraph" w:styleId="BalloonText">
    <w:name w:val="Balloon Text"/>
    <w:basedOn w:val="Normal"/>
    <w:semiHidden/>
    <w:rsid w:val="00C5757E"/>
    <w:rPr>
      <w:rFonts w:ascii="Tahoma" w:hAnsi="Tahoma" w:cs="Tahoma"/>
      <w:sz w:val="16"/>
      <w:szCs w:val="16"/>
    </w:rPr>
  </w:style>
  <w:style w:type="character" w:styleId="Strong">
    <w:name w:val="Strong"/>
    <w:basedOn w:val="DefaultParagraphFont"/>
    <w:qFormat/>
    <w:rsid w:val="00DF7783"/>
    <w:rPr>
      <w:b/>
      <w:bCs/>
    </w:rPr>
  </w:style>
  <w:style w:type="paragraph" w:styleId="PlainText">
    <w:name w:val="Plain Text"/>
    <w:basedOn w:val="Normal"/>
    <w:rsid w:val="00BA0E8A"/>
    <w:pPr>
      <w:overflowPunct/>
      <w:autoSpaceDE/>
      <w:autoSpaceDN/>
      <w:adjustRightInd/>
      <w:spacing w:before="100" w:beforeAutospacing="1" w:after="100" w:afterAutospacing="1"/>
      <w:textAlignment w:val="auto"/>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9324">
      <w:bodyDiv w:val="1"/>
      <w:marLeft w:val="0"/>
      <w:marRight w:val="0"/>
      <w:marTop w:val="0"/>
      <w:marBottom w:val="0"/>
      <w:divBdr>
        <w:top w:val="none" w:sz="0" w:space="0" w:color="auto"/>
        <w:left w:val="none" w:sz="0" w:space="0" w:color="auto"/>
        <w:bottom w:val="none" w:sz="0" w:space="0" w:color="auto"/>
        <w:right w:val="none" w:sz="0" w:space="0" w:color="auto"/>
      </w:divBdr>
      <w:divsChild>
        <w:div w:id="1163738087">
          <w:marLeft w:val="0"/>
          <w:marRight w:val="0"/>
          <w:marTop w:val="0"/>
          <w:marBottom w:val="450"/>
          <w:divBdr>
            <w:top w:val="none" w:sz="0" w:space="0" w:color="auto"/>
            <w:left w:val="none" w:sz="0" w:space="0" w:color="auto"/>
            <w:bottom w:val="none" w:sz="0" w:space="0" w:color="auto"/>
            <w:right w:val="none" w:sz="0" w:space="0" w:color="auto"/>
          </w:divBdr>
        </w:div>
      </w:divsChild>
    </w:div>
    <w:div w:id="1104807360">
      <w:bodyDiv w:val="1"/>
      <w:marLeft w:val="0"/>
      <w:marRight w:val="0"/>
      <w:marTop w:val="0"/>
      <w:marBottom w:val="0"/>
      <w:divBdr>
        <w:top w:val="none" w:sz="0" w:space="0" w:color="auto"/>
        <w:left w:val="none" w:sz="0" w:space="0" w:color="auto"/>
        <w:bottom w:val="none" w:sz="0" w:space="0" w:color="auto"/>
        <w:right w:val="none" w:sz="0" w:space="0" w:color="auto"/>
      </w:divBdr>
    </w:div>
    <w:div w:id="1367409316">
      <w:bodyDiv w:val="1"/>
      <w:marLeft w:val="0"/>
      <w:marRight w:val="0"/>
      <w:marTop w:val="0"/>
      <w:marBottom w:val="0"/>
      <w:divBdr>
        <w:top w:val="none" w:sz="0" w:space="0" w:color="auto"/>
        <w:left w:val="none" w:sz="0" w:space="0" w:color="auto"/>
        <w:bottom w:val="none" w:sz="0" w:space="0" w:color="auto"/>
        <w:right w:val="none" w:sz="0" w:space="0" w:color="auto"/>
      </w:divBdr>
      <w:divsChild>
        <w:div w:id="1474827821">
          <w:marLeft w:val="0"/>
          <w:marRight w:val="0"/>
          <w:marTop w:val="0"/>
          <w:marBottom w:val="0"/>
          <w:divBdr>
            <w:top w:val="none" w:sz="0" w:space="0" w:color="auto"/>
            <w:left w:val="none" w:sz="0" w:space="0" w:color="auto"/>
            <w:bottom w:val="none" w:sz="0" w:space="0" w:color="auto"/>
            <w:right w:val="none" w:sz="0" w:space="0" w:color="auto"/>
          </w:divBdr>
          <w:divsChild>
            <w:div w:id="1048870616">
              <w:marLeft w:val="0"/>
              <w:marRight w:val="0"/>
              <w:marTop w:val="0"/>
              <w:marBottom w:val="0"/>
              <w:divBdr>
                <w:top w:val="none" w:sz="0" w:space="0" w:color="auto"/>
                <w:left w:val="none" w:sz="0" w:space="0" w:color="auto"/>
                <w:bottom w:val="none" w:sz="0" w:space="0" w:color="auto"/>
                <w:right w:val="none" w:sz="0" w:space="0" w:color="auto"/>
              </w:divBdr>
              <w:divsChild>
                <w:div w:id="837577060">
                  <w:marLeft w:val="3045"/>
                  <w:marRight w:val="23"/>
                  <w:marTop w:val="0"/>
                  <w:marBottom w:val="240"/>
                  <w:divBdr>
                    <w:top w:val="none" w:sz="0" w:space="0" w:color="auto"/>
                    <w:left w:val="single" w:sz="6" w:space="24" w:color="CCCCCC"/>
                    <w:bottom w:val="dotted" w:sz="6" w:space="12" w:color="CCCCCC"/>
                    <w:right w:val="single" w:sz="6" w:space="24" w:color="CCCCCC"/>
                  </w:divBdr>
                </w:div>
              </w:divsChild>
            </w:div>
          </w:divsChild>
        </w:div>
      </w:divsChild>
    </w:div>
    <w:div w:id="18373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DG%20&amp;%20DDG%20%20templates\DG%20-%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DG - Brief.dot</Template>
  <TotalTime>0</TotalTime>
  <Pages>1</Pages>
  <Words>269</Words>
  <Characters>1315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CharactersWithSpaces>
  <SharedDoc>false</SharedDoc>
  <HyperlinkBase>https://www.cabinet.qld.gov.au/documents/2009/Feb/Annual Land Valuations/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2009-03-30T23:33:00Z</cp:lastPrinted>
  <dcterms:created xsi:type="dcterms:W3CDTF">2017-10-24T21:59:00Z</dcterms:created>
  <dcterms:modified xsi:type="dcterms:W3CDTF">2018-03-06T00:56:00Z</dcterms:modified>
  <cp:category>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nCorReferenceNumber">
    <vt:lpwstr>[CTS No]</vt:lpwstr>
  </property>
</Properties>
</file>